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15" w:rsidRPr="003D4815" w:rsidRDefault="003D4815" w:rsidP="003D4815">
      <w:pPr>
        <w:shd w:val="clear" w:color="auto" w:fill="FFFFFF"/>
        <w:spacing w:after="0" w:line="350" w:lineRule="atLeast"/>
        <w:outlineLvl w:val="2"/>
        <w:rPr>
          <w:rFonts w:ascii="Trebuchet MS" w:eastAsia="Times New Roman" w:hAnsi="Trebuchet MS" w:cs="Times New Roman"/>
          <w:b/>
          <w:bCs/>
          <w:color w:val="000000"/>
          <w:sz w:val="24"/>
          <w:szCs w:val="24"/>
          <w:lang w:eastAsia="es-MX"/>
        </w:rPr>
      </w:pPr>
      <w:r w:rsidRPr="003D4815">
        <w:rPr>
          <w:rFonts w:ascii="Trebuchet MS" w:eastAsia="Times New Roman" w:hAnsi="Trebuchet MS" w:cs="Times New Roman"/>
          <w:b/>
          <w:bCs/>
          <w:color w:val="000000"/>
          <w:sz w:val="24"/>
          <w:szCs w:val="24"/>
          <w:lang w:eastAsia="es-MX"/>
        </w:rPr>
        <w:t xml:space="preserve">Síndrome nefrótico en pediatría: ¿qué régimen de tratamiento con </w:t>
      </w:r>
      <w:proofErr w:type="spellStart"/>
      <w:r w:rsidRPr="003D4815">
        <w:rPr>
          <w:rFonts w:ascii="Trebuchet MS" w:eastAsia="Times New Roman" w:hAnsi="Trebuchet MS" w:cs="Times New Roman"/>
          <w:b/>
          <w:bCs/>
          <w:color w:val="000000"/>
          <w:sz w:val="24"/>
          <w:szCs w:val="24"/>
          <w:lang w:eastAsia="es-MX"/>
        </w:rPr>
        <w:t>prednisolona</w:t>
      </w:r>
      <w:proofErr w:type="spellEnd"/>
      <w:r w:rsidRPr="003D4815">
        <w:rPr>
          <w:rFonts w:ascii="Trebuchet MS" w:eastAsia="Times New Roman" w:hAnsi="Trebuchet MS" w:cs="Times New Roman"/>
          <w:b/>
          <w:bCs/>
          <w:color w:val="000000"/>
          <w:sz w:val="24"/>
          <w:szCs w:val="24"/>
          <w:lang w:eastAsia="es-MX"/>
        </w:rPr>
        <w:t xml:space="preserve"> (en base al peso o a la superficie corporal) es más conveniente?</w:t>
      </w:r>
    </w:p>
    <w:p w:rsidR="003D4815" w:rsidRPr="003D4815" w:rsidRDefault="003D4815" w:rsidP="003D4815">
      <w:pPr>
        <w:shd w:val="clear" w:color="auto" w:fill="FFFFFF"/>
        <w:spacing w:after="75" w:line="240" w:lineRule="atLeast"/>
        <w:rPr>
          <w:rFonts w:ascii="Lucida Sans Unicode" w:eastAsia="Times New Roman" w:hAnsi="Lucida Sans Unicode" w:cs="Lucida Sans Unicode"/>
          <w:caps/>
          <w:color w:val="5A911A"/>
          <w:sz w:val="15"/>
          <w:szCs w:val="15"/>
          <w:lang w:eastAsia="es-MX"/>
        </w:rPr>
      </w:pPr>
      <w:r w:rsidRPr="003D4815">
        <w:rPr>
          <w:rFonts w:ascii="Lucida Sans Unicode" w:eastAsia="Times New Roman" w:hAnsi="Lucida Sans Unicode" w:cs="Lucida Sans Unicode"/>
          <w:caps/>
          <w:color w:val="5A911A"/>
          <w:sz w:val="15"/>
          <w:szCs w:val="15"/>
          <w:lang w:eastAsia="es-MX"/>
        </w:rPr>
        <w:t>PREDNISOLONA CON DOSIS EN BASE AL PESO CORPORAL VERSUS EN BASE A LA SUPERFICIE CORPORAL PARA LA INDUCCIÓN DE LA REMISIÓN EN NIÑOS CON SÍNDROME NEFRÓTICO: ENSAYO CLÍNICO DE EQUIVALENCIA, ALEATORIZADO, ABIERTO.</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val="en-US" w:eastAsia="es-MX"/>
        </w:rPr>
      </w:pPr>
      <w:r w:rsidRPr="003D4815">
        <w:rPr>
          <w:rFonts w:ascii="Trebuchet MS" w:eastAsia="Times New Roman" w:hAnsi="Trebuchet MS" w:cs="Times New Roman"/>
          <w:color w:val="000000"/>
          <w:sz w:val="18"/>
          <w:szCs w:val="18"/>
          <w:lang w:val="en-US" w:eastAsia="es-MX"/>
        </w:rPr>
        <w:t>Artículo original:</w:t>
      </w:r>
      <w:r w:rsidRPr="003D4815">
        <w:rPr>
          <w:rFonts w:ascii="Trebuchet MS" w:eastAsia="Times New Roman" w:hAnsi="Trebuchet MS" w:cs="Times New Roman"/>
          <w:color w:val="000000"/>
          <w:sz w:val="18"/>
          <w:szCs w:val="18"/>
          <w:lang w:val="en-US" w:eastAsia="es-MX"/>
        </w:rPr>
        <w:br/>
        <w:t>Body weight-based prednisolone versus body surface area-based prednisolone regimen for induction of remission in children with nephrotic syndrome: a randomized, open-label, equivalence clinical trial.</w:t>
      </w:r>
    </w:p>
    <w:p w:rsidR="003D4815" w:rsidRPr="003D4815" w:rsidRDefault="003D4815" w:rsidP="003D4815">
      <w:pPr>
        <w:shd w:val="clear" w:color="auto" w:fill="FFFFFF"/>
        <w:spacing w:before="60" w:after="0" w:line="240" w:lineRule="atLeast"/>
        <w:rPr>
          <w:rFonts w:ascii="Lucida Sans Unicode" w:eastAsia="Times New Roman" w:hAnsi="Lucida Sans Unicode" w:cs="Lucida Sans Unicode"/>
          <w:color w:val="808080"/>
          <w:sz w:val="15"/>
          <w:szCs w:val="15"/>
          <w:lang w:eastAsia="es-MX"/>
        </w:rPr>
      </w:pPr>
      <w:proofErr w:type="spellStart"/>
      <w:r w:rsidRPr="003D4815">
        <w:rPr>
          <w:rFonts w:ascii="Lucida Sans Unicode" w:eastAsia="Times New Roman" w:hAnsi="Lucida Sans Unicode" w:cs="Lucida Sans Unicode"/>
          <w:color w:val="808080"/>
          <w:sz w:val="15"/>
          <w:szCs w:val="15"/>
          <w:lang w:eastAsia="es-MX"/>
        </w:rPr>
        <w:t>Vaishnavi</w:t>
      </w:r>
      <w:proofErr w:type="spellEnd"/>
      <w:r w:rsidRPr="003D4815">
        <w:rPr>
          <w:rFonts w:ascii="Lucida Sans Unicode" w:eastAsia="Times New Roman" w:hAnsi="Lucida Sans Unicode" w:cs="Lucida Sans Unicode"/>
          <w:color w:val="808080"/>
          <w:sz w:val="15"/>
          <w:szCs w:val="15"/>
          <w:lang w:eastAsia="es-MX"/>
        </w:rPr>
        <w:t xml:space="preserve"> </w:t>
      </w:r>
      <w:proofErr w:type="spellStart"/>
      <w:r w:rsidRPr="003D4815">
        <w:rPr>
          <w:rFonts w:ascii="Lucida Sans Unicode" w:eastAsia="Times New Roman" w:hAnsi="Lucida Sans Unicode" w:cs="Lucida Sans Unicode"/>
          <w:color w:val="808080"/>
          <w:sz w:val="15"/>
          <w:szCs w:val="15"/>
          <w:lang w:eastAsia="es-MX"/>
        </w:rPr>
        <w:t>Raman</w:t>
      </w:r>
      <w:proofErr w:type="spellEnd"/>
      <w:r w:rsidRPr="003D4815">
        <w:rPr>
          <w:rFonts w:ascii="Lucida Sans Unicode" w:eastAsia="Times New Roman" w:hAnsi="Lucida Sans Unicode" w:cs="Lucida Sans Unicode"/>
          <w:color w:val="808080"/>
          <w:sz w:val="15"/>
          <w:szCs w:val="15"/>
          <w:lang w:eastAsia="es-MX"/>
        </w:rPr>
        <w:t xml:space="preserve">, </w:t>
      </w:r>
      <w:proofErr w:type="spellStart"/>
      <w:r w:rsidRPr="003D4815">
        <w:rPr>
          <w:rFonts w:ascii="Lucida Sans Unicode" w:eastAsia="Times New Roman" w:hAnsi="Lucida Sans Unicode" w:cs="Lucida Sans Unicode"/>
          <w:color w:val="808080"/>
          <w:sz w:val="15"/>
          <w:szCs w:val="15"/>
          <w:lang w:eastAsia="es-MX"/>
        </w:rPr>
        <w:t>Sriram</w:t>
      </w:r>
      <w:proofErr w:type="spellEnd"/>
      <w:r w:rsidRPr="003D4815">
        <w:rPr>
          <w:rFonts w:ascii="Lucida Sans Unicode" w:eastAsia="Times New Roman" w:hAnsi="Lucida Sans Unicode" w:cs="Lucida Sans Unicode"/>
          <w:color w:val="808080"/>
          <w:sz w:val="15"/>
          <w:szCs w:val="15"/>
          <w:lang w:eastAsia="es-MX"/>
        </w:rPr>
        <w:t xml:space="preserve"> </w:t>
      </w:r>
      <w:proofErr w:type="spellStart"/>
      <w:r w:rsidRPr="003D4815">
        <w:rPr>
          <w:rFonts w:ascii="Lucida Sans Unicode" w:eastAsia="Times New Roman" w:hAnsi="Lucida Sans Unicode" w:cs="Lucida Sans Unicode"/>
          <w:color w:val="808080"/>
          <w:sz w:val="15"/>
          <w:szCs w:val="15"/>
          <w:lang w:eastAsia="es-MX"/>
        </w:rPr>
        <w:t>Krishnamurthy</w:t>
      </w:r>
      <w:proofErr w:type="spellEnd"/>
      <w:r w:rsidRPr="003D4815">
        <w:rPr>
          <w:rFonts w:ascii="Lucida Sans Unicode" w:eastAsia="Times New Roman" w:hAnsi="Lucida Sans Unicode" w:cs="Lucida Sans Unicode"/>
          <w:color w:val="808080"/>
          <w:sz w:val="15"/>
          <w:szCs w:val="15"/>
          <w:lang w:eastAsia="es-MX"/>
        </w:rPr>
        <w:t xml:space="preserve"> y colaboradores.</w:t>
      </w:r>
    </w:p>
    <w:p w:rsidR="003D4815" w:rsidRPr="003D4815" w:rsidRDefault="003D4815" w:rsidP="003D4815">
      <w:pPr>
        <w:shd w:val="clear" w:color="auto" w:fill="FFFFFF"/>
        <w:spacing w:before="60" w:after="150" w:line="240" w:lineRule="atLeast"/>
        <w:rPr>
          <w:rFonts w:ascii="Lucida Sans Unicode" w:eastAsia="Times New Roman" w:hAnsi="Lucida Sans Unicode" w:cs="Lucida Sans Unicode"/>
          <w:color w:val="808080"/>
          <w:sz w:val="15"/>
          <w:szCs w:val="15"/>
          <w:lang w:eastAsia="es-MX"/>
        </w:rPr>
      </w:pPr>
      <w:proofErr w:type="spellStart"/>
      <w:r w:rsidRPr="003D4815">
        <w:rPr>
          <w:rFonts w:ascii="Lucida Sans Unicode" w:eastAsia="Times New Roman" w:hAnsi="Lucida Sans Unicode" w:cs="Lucida Sans Unicode"/>
          <w:color w:val="808080"/>
          <w:sz w:val="15"/>
          <w:szCs w:val="15"/>
          <w:lang w:eastAsia="es-MX"/>
        </w:rPr>
        <w:t>Pediatr</w:t>
      </w:r>
      <w:proofErr w:type="spellEnd"/>
      <w:r w:rsidRPr="003D4815">
        <w:rPr>
          <w:rFonts w:ascii="Lucida Sans Unicode" w:eastAsia="Times New Roman" w:hAnsi="Lucida Sans Unicode" w:cs="Lucida Sans Unicode"/>
          <w:color w:val="808080"/>
          <w:sz w:val="15"/>
          <w:szCs w:val="15"/>
          <w:lang w:eastAsia="es-MX"/>
        </w:rPr>
        <w:t xml:space="preserve"> </w:t>
      </w:r>
      <w:proofErr w:type="spellStart"/>
      <w:r w:rsidRPr="003D4815">
        <w:rPr>
          <w:rFonts w:ascii="Lucida Sans Unicode" w:eastAsia="Times New Roman" w:hAnsi="Lucida Sans Unicode" w:cs="Lucida Sans Unicode"/>
          <w:color w:val="808080"/>
          <w:sz w:val="15"/>
          <w:szCs w:val="15"/>
          <w:lang w:eastAsia="es-MX"/>
        </w:rPr>
        <w:t>Nephrol</w:t>
      </w:r>
      <w:proofErr w:type="spellEnd"/>
      <w:r w:rsidRPr="003D4815">
        <w:rPr>
          <w:rFonts w:ascii="Lucida Sans Unicode" w:eastAsia="Times New Roman" w:hAnsi="Lucida Sans Unicode" w:cs="Lucida Sans Unicode"/>
          <w:color w:val="808080"/>
          <w:sz w:val="15"/>
          <w:szCs w:val="15"/>
          <w:lang w:eastAsia="es-MX"/>
        </w:rPr>
        <w:t xml:space="preserve"> (2016) 31: 595–604.</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INTRODUCCIÓN</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 xml:space="preserve">El síndrome nefrótico idiopático es una patología renal crónica frecuente en pediatría con una buena respuesta a los corticoides. La dosis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para esta patología es un tema de controversia. El “International </w:t>
      </w:r>
      <w:proofErr w:type="spellStart"/>
      <w:r w:rsidRPr="003D4815">
        <w:rPr>
          <w:rFonts w:ascii="Trebuchet MS" w:eastAsia="Times New Roman" w:hAnsi="Trebuchet MS" w:cs="Times New Roman"/>
          <w:color w:val="000000"/>
          <w:sz w:val="18"/>
          <w:szCs w:val="18"/>
          <w:lang w:eastAsia="es-MX"/>
        </w:rPr>
        <w:t>Study</w:t>
      </w:r>
      <w:proofErr w:type="spellEnd"/>
      <w:r w:rsidRPr="003D4815">
        <w:rPr>
          <w:rFonts w:ascii="Trebuchet MS" w:eastAsia="Times New Roman" w:hAnsi="Trebuchet MS" w:cs="Times New Roman"/>
          <w:color w:val="000000"/>
          <w:sz w:val="18"/>
          <w:szCs w:val="18"/>
          <w:lang w:eastAsia="es-MX"/>
        </w:rPr>
        <w:t xml:space="preserve"> of </w:t>
      </w:r>
      <w:proofErr w:type="spellStart"/>
      <w:r w:rsidRPr="003D4815">
        <w:rPr>
          <w:rFonts w:ascii="Trebuchet MS" w:eastAsia="Times New Roman" w:hAnsi="Trebuchet MS" w:cs="Times New Roman"/>
          <w:color w:val="000000"/>
          <w:sz w:val="18"/>
          <w:szCs w:val="18"/>
          <w:lang w:eastAsia="es-MX"/>
        </w:rPr>
        <w:t>Kidney</w:t>
      </w:r>
      <w:proofErr w:type="spellEnd"/>
      <w:r w:rsidRPr="003D4815">
        <w:rPr>
          <w:rFonts w:ascii="Trebuchet MS" w:eastAsia="Times New Roman" w:hAnsi="Trebuchet MS" w:cs="Times New Roman"/>
          <w:color w:val="000000"/>
          <w:sz w:val="18"/>
          <w:szCs w:val="18"/>
          <w:lang w:eastAsia="es-MX"/>
        </w:rPr>
        <w:t xml:space="preserve"> </w:t>
      </w:r>
      <w:proofErr w:type="spellStart"/>
      <w:r w:rsidRPr="003D4815">
        <w:rPr>
          <w:rFonts w:ascii="Trebuchet MS" w:eastAsia="Times New Roman" w:hAnsi="Trebuchet MS" w:cs="Times New Roman"/>
          <w:color w:val="000000"/>
          <w:sz w:val="18"/>
          <w:szCs w:val="18"/>
          <w:lang w:eastAsia="es-MX"/>
        </w:rPr>
        <w:t>Disease</w:t>
      </w:r>
      <w:proofErr w:type="spellEnd"/>
      <w:r w:rsidRPr="003D4815">
        <w:rPr>
          <w:rFonts w:ascii="Trebuchet MS" w:eastAsia="Times New Roman" w:hAnsi="Trebuchet MS" w:cs="Times New Roman"/>
          <w:color w:val="000000"/>
          <w:sz w:val="18"/>
          <w:szCs w:val="18"/>
          <w:lang w:eastAsia="es-MX"/>
        </w:rPr>
        <w:t xml:space="preserve"> in </w:t>
      </w:r>
      <w:proofErr w:type="spellStart"/>
      <w:r w:rsidRPr="003D4815">
        <w:rPr>
          <w:rFonts w:ascii="Trebuchet MS" w:eastAsia="Times New Roman" w:hAnsi="Trebuchet MS" w:cs="Times New Roman"/>
          <w:color w:val="000000"/>
          <w:sz w:val="18"/>
          <w:szCs w:val="18"/>
          <w:lang w:eastAsia="es-MX"/>
        </w:rPr>
        <w:t>Children</w:t>
      </w:r>
      <w:proofErr w:type="spellEnd"/>
      <w:r w:rsidRPr="003D4815">
        <w:rPr>
          <w:rFonts w:ascii="Trebuchet MS" w:eastAsia="Times New Roman" w:hAnsi="Trebuchet MS" w:cs="Times New Roman"/>
          <w:color w:val="000000"/>
          <w:sz w:val="18"/>
          <w:szCs w:val="18"/>
          <w:lang w:eastAsia="es-MX"/>
        </w:rPr>
        <w:t>” (ISKDC) recomienda una dosis de 60 mg/m2 por día para el </w:t>
      </w:r>
      <w:proofErr w:type="spellStart"/>
      <w:r w:rsidRPr="003D4815">
        <w:rPr>
          <w:rFonts w:ascii="Trebuchet MS" w:eastAsia="Times New Roman" w:hAnsi="Trebuchet MS" w:cs="Times New Roman"/>
          <w:b/>
          <w:bCs/>
          <w:color w:val="000000"/>
          <w:sz w:val="18"/>
          <w:szCs w:val="18"/>
          <w:lang w:eastAsia="es-MX"/>
        </w:rPr>
        <w:fldChar w:fldCharType="begin"/>
      </w:r>
      <w:r w:rsidRPr="003D4815">
        <w:rPr>
          <w:rFonts w:ascii="Trebuchet MS" w:eastAsia="Times New Roman" w:hAnsi="Trebuchet MS" w:cs="Times New Roman"/>
          <w:b/>
          <w:bCs/>
          <w:color w:val="000000"/>
          <w:sz w:val="18"/>
          <w:szCs w:val="18"/>
          <w:lang w:eastAsia="es-MX"/>
        </w:rPr>
        <w:instrText xml:space="preserve"> HYPERLINK "http://medline.rima.org/Sinopsis.aspx?Id=15109" \o "Proceso de intervenir en las personas con el objetivo de mejorar su salud o expectativa de vida. A veces, y en particular en textos estadísticos, el término es utilizado para cubrir todos los grupos de comparación, incluyendo el placebo, de un ensayo controlado e, inclusive, en intervenciones diseñadas para prevenir eventos indeseables en personas sanas, en vez de curar a personas enfermas. Ver también: Datos agregados" </w:instrText>
      </w:r>
      <w:r w:rsidRPr="003D4815">
        <w:rPr>
          <w:rFonts w:ascii="Trebuchet MS" w:eastAsia="Times New Roman" w:hAnsi="Trebuchet MS" w:cs="Times New Roman"/>
          <w:b/>
          <w:bCs/>
          <w:color w:val="000000"/>
          <w:sz w:val="18"/>
          <w:szCs w:val="18"/>
          <w:lang w:eastAsia="es-MX"/>
        </w:rPr>
        <w:fldChar w:fldCharType="separate"/>
      </w:r>
      <w:r w:rsidRPr="003D4815">
        <w:rPr>
          <w:rFonts w:ascii="Trebuchet MS" w:eastAsia="Times New Roman" w:hAnsi="Trebuchet MS" w:cs="Times New Roman"/>
          <w:b/>
          <w:bCs/>
          <w:color w:val="000000"/>
          <w:sz w:val="18"/>
          <w:szCs w:val="18"/>
          <w:u w:val="single"/>
          <w:lang w:eastAsia="es-MX"/>
        </w:rPr>
        <w:t>Tratamiento</w:t>
      </w:r>
      <w:r w:rsidRPr="003D4815">
        <w:rPr>
          <w:rFonts w:ascii="Trebuchet MS" w:eastAsia="Times New Roman" w:hAnsi="Trebuchet MS" w:cs="Times New Roman"/>
          <w:b/>
          <w:bCs/>
          <w:color w:val="000000"/>
          <w:sz w:val="18"/>
          <w:szCs w:val="18"/>
          <w:lang w:eastAsia="es-MX"/>
        </w:rPr>
        <w:fldChar w:fldCharType="end"/>
      </w:r>
      <w:r w:rsidRPr="003D4815">
        <w:rPr>
          <w:rFonts w:ascii="Trebuchet MS" w:eastAsia="Times New Roman" w:hAnsi="Trebuchet MS" w:cs="Times New Roman"/>
          <w:color w:val="000000"/>
          <w:sz w:val="18"/>
          <w:szCs w:val="18"/>
          <w:lang w:eastAsia="es-MX"/>
        </w:rPr>
        <w:t>de</w:t>
      </w:r>
      <w:proofErr w:type="spellEnd"/>
      <w:r w:rsidRPr="003D4815">
        <w:rPr>
          <w:rFonts w:ascii="Trebuchet MS" w:eastAsia="Times New Roman" w:hAnsi="Trebuchet MS" w:cs="Times New Roman"/>
          <w:color w:val="000000"/>
          <w:sz w:val="18"/>
          <w:szCs w:val="18"/>
          <w:lang w:eastAsia="es-MX"/>
        </w:rPr>
        <w:t xml:space="preserve"> esta entidad, y es la dosis elegida en varios estudios. Sin embargo, en otros estudios se recomienda la dosis de 2 mg/kg por día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como la dosis inicial para tratar esta patología. Algunos autores recomiendan ambos regímenes, en base a la superficie corporal o al peso corporal, asumiendo una equivalencia entre ellos. </w:t>
      </w:r>
      <w:r w:rsidRPr="003D4815">
        <w:rPr>
          <w:rFonts w:ascii="Trebuchet MS" w:eastAsia="Times New Roman" w:hAnsi="Trebuchet MS" w:cs="Times New Roman"/>
          <w:color w:val="000000"/>
          <w:sz w:val="18"/>
          <w:szCs w:val="18"/>
          <w:lang w:eastAsia="es-MX"/>
        </w:rPr>
        <w:br/>
        <w:t xml:space="preserve">En base a la diferencia de dosis de algunos estudios, se planteó la preocupación con los regímenes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en base al peso corporal de una dosis sub-terapéutica, que podría generar a un efecto terapéutico sub-óptimo, comparada con el régimen en base a la superficie corporal. </w:t>
      </w:r>
      <w:r w:rsidRPr="003D4815">
        <w:rPr>
          <w:rFonts w:ascii="Trebuchet MS" w:eastAsia="Times New Roman" w:hAnsi="Trebuchet MS" w:cs="Times New Roman"/>
          <w:color w:val="000000"/>
          <w:sz w:val="18"/>
          <w:szCs w:val="18"/>
          <w:lang w:eastAsia="es-MX"/>
        </w:rPr>
        <w:br/>
        <w:t xml:space="preserve">Los autores se propusieron como objetivo de este ensayo evaluar la significancia clínica de la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en base al peso corporal comparándola con este mismo fármaco en relación a la superficie corporal para la inducción de la remisión, en niños con síndrome nefrótico.</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DISEÑO</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hyperlink r:id="rId5" w:tooltip="Experimento que compara los efectos de dos o más intervenciones médicas. El término “ensayo clínico” abarca varios diseños posibles, incluyendo ensayos no controlados, ensayos controlados, y ensayos aleatorizados controlados. También llamado: estudio de intervención." w:history="1">
        <w:r w:rsidRPr="003D4815">
          <w:rPr>
            <w:rFonts w:ascii="Trebuchet MS" w:eastAsia="Times New Roman" w:hAnsi="Trebuchet MS" w:cs="Times New Roman"/>
            <w:b/>
            <w:bCs/>
            <w:color w:val="000000"/>
            <w:sz w:val="18"/>
            <w:szCs w:val="18"/>
            <w:u w:val="single"/>
            <w:lang w:eastAsia="es-MX"/>
          </w:rPr>
          <w:t>Ensayo clínico</w:t>
        </w:r>
      </w:hyperlink>
      <w:r w:rsidRPr="003D4815">
        <w:rPr>
          <w:rFonts w:ascii="Trebuchet MS" w:eastAsia="Times New Roman" w:hAnsi="Trebuchet MS" w:cs="Times New Roman"/>
          <w:color w:val="000000"/>
          <w:sz w:val="18"/>
          <w:szCs w:val="18"/>
          <w:lang w:eastAsia="es-MX"/>
        </w:rPr>
        <w:t>, aleatorizado, abierto (los investigadores conocieron el </w:t>
      </w:r>
      <w:proofErr w:type="spellStart"/>
      <w:r w:rsidRPr="003D4815">
        <w:rPr>
          <w:rFonts w:ascii="Trebuchet MS" w:eastAsia="Times New Roman" w:hAnsi="Trebuchet MS" w:cs="Times New Roman"/>
          <w:b/>
          <w:bCs/>
          <w:color w:val="000000"/>
          <w:sz w:val="18"/>
          <w:szCs w:val="18"/>
          <w:lang w:eastAsia="es-MX"/>
        </w:rPr>
        <w:fldChar w:fldCharType="begin"/>
      </w:r>
      <w:r w:rsidRPr="003D4815">
        <w:rPr>
          <w:rFonts w:ascii="Trebuchet MS" w:eastAsia="Times New Roman" w:hAnsi="Trebuchet MS" w:cs="Times New Roman"/>
          <w:b/>
          <w:bCs/>
          <w:color w:val="000000"/>
          <w:sz w:val="18"/>
          <w:szCs w:val="18"/>
          <w:lang w:eastAsia="es-MX"/>
        </w:rPr>
        <w:instrText xml:space="preserve"> HYPERLINK "http://medline.rima.org/Sinopsis.aspx?Id=15109" \o "Proceso de intervenir en las personas con el objetivo de mejorar su salud o expectativa de vida. A veces, y en particular en textos estadísticos, el término es utilizado para cubrir todos los grupos de comparación, incluyendo el placebo, de un ensayo controlado e, inclusive, en intervenciones diseñadas para prevenir eventos indeseables en personas sanas, en vez de curar a personas enfermas. Ver también: Datos agregados" </w:instrText>
      </w:r>
      <w:r w:rsidRPr="003D4815">
        <w:rPr>
          <w:rFonts w:ascii="Trebuchet MS" w:eastAsia="Times New Roman" w:hAnsi="Trebuchet MS" w:cs="Times New Roman"/>
          <w:b/>
          <w:bCs/>
          <w:color w:val="000000"/>
          <w:sz w:val="18"/>
          <w:szCs w:val="18"/>
          <w:lang w:eastAsia="es-MX"/>
        </w:rPr>
        <w:fldChar w:fldCharType="separate"/>
      </w:r>
      <w:r w:rsidRPr="003D4815">
        <w:rPr>
          <w:rFonts w:ascii="Trebuchet MS" w:eastAsia="Times New Roman" w:hAnsi="Trebuchet MS" w:cs="Times New Roman"/>
          <w:b/>
          <w:bCs/>
          <w:color w:val="000000"/>
          <w:sz w:val="18"/>
          <w:szCs w:val="18"/>
          <w:u w:val="single"/>
          <w:lang w:eastAsia="es-MX"/>
        </w:rPr>
        <w:t>Tratamiento</w:t>
      </w:r>
      <w:r w:rsidRPr="003D4815">
        <w:rPr>
          <w:rFonts w:ascii="Trebuchet MS" w:eastAsia="Times New Roman" w:hAnsi="Trebuchet MS" w:cs="Times New Roman"/>
          <w:b/>
          <w:bCs/>
          <w:color w:val="000000"/>
          <w:sz w:val="18"/>
          <w:szCs w:val="18"/>
          <w:lang w:eastAsia="es-MX"/>
        </w:rPr>
        <w:fldChar w:fldCharType="end"/>
      </w:r>
      <w:r w:rsidRPr="003D4815">
        <w:rPr>
          <w:rFonts w:ascii="Trebuchet MS" w:eastAsia="Times New Roman" w:hAnsi="Trebuchet MS" w:cs="Times New Roman"/>
          <w:color w:val="000000"/>
          <w:sz w:val="18"/>
          <w:szCs w:val="18"/>
          <w:lang w:eastAsia="es-MX"/>
        </w:rPr>
        <w:t>asignados</w:t>
      </w:r>
      <w:proofErr w:type="spellEnd"/>
      <w:r w:rsidRPr="003D4815">
        <w:rPr>
          <w:rFonts w:ascii="Trebuchet MS" w:eastAsia="Times New Roman" w:hAnsi="Trebuchet MS" w:cs="Times New Roman"/>
          <w:color w:val="000000"/>
          <w:sz w:val="18"/>
          <w:szCs w:val="18"/>
          <w:lang w:eastAsia="es-MX"/>
        </w:rPr>
        <w:t>, permaneciendo en </w:t>
      </w:r>
      <w:hyperlink r:id="rId6" w:tooltip="[En un ensayo controlado:] Proceso de prevenir que aquellos involucrados en el ensayo tomen conocimiento sobre a qué grupo corresponde un participante particular. El riesgo de sesgo se minimiza cuando la menor cantidad de personas posible conocen quién recibe la intervención experimental y quién, el control. Los participantes, los médicos, los evaluadores de los resultados y los analistas son candidatos a ser cegados. El ciego de ciertos grupos no siempre es posible, por ejemplo, los cirujanos en ensayos quirúrgicos. Los términos simple ciego, doble ciego y triple ciego son frecuentemente utilizados, pero no se utilizan consistentemente por lo que son ambiguos a menos que las personas específicas cegadas sean enumeradas. Ver también: Simple ciego. También llamado: Doble ciego, ocultamiento, triple ciego." w:history="1">
        <w:r w:rsidRPr="003D4815">
          <w:rPr>
            <w:rFonts w:ascii="Trebuchet MS" w:eastAsia="Times New Roman" w:hAnsi="Trebuchet MS" w:cs="Times New Roman"/>
            <w:b/>
            <w:bCs/>
            <w:color w:val="000000"/>
            <w:sz w:val="18"/>
            <w:szCs w:val="18"/>
            <w:u w:val="single"/>
            <w:lang w:eastAsia="es-MX"/>
          </w:rPr>
          <w:t>Ciego</w:t>
        </w:r>
      </w:hyperlink>
      <w:r w:rsidRPr="003D4815">
        <w:rPr>
          <w:rFonts w:ascii="Trebuchet MS" w:eastAsia="Times New Roman" w:hAnsi="Trebuchet MS" w:cs="Times New Roman"/>
          <w:color w:val="000000"/>
          <w:sz w:val="18"/>
          <w:szCs w:val="18"/>
          <w:lang w:eastAsia="es-MX"/>
        </w:rPr>
        <w:t>, tanto los pacientes como los evaluadores de los datos), y controlado.</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CONTEXTO</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Este ensayo se realizó en un hospital de referencia en el sur de la India, entre marzo del 2014 hasta julio del 2015.</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PACIENTES</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 xml:space="preserve">Se incluyeron niños entre 1 y 18 años de edad con síndrome nefrótico idiopático. Se excluyeron los niños con síndrome nefrótico resistente a los corticoides, síndrome nefrótico secundario (como por ejemplo en la nefritis </w:t>
      </w:r>
      <w:proofErr w:type="spellStart"/>
      <w:r w:rsidRPr="003D4815">
        <w:rPr>
          <w:rFonts w:ascii="Trebuchet MS" w:eastAsia="Times New Roman" w:hAnsi="Trebuchet MS" w:cs="Times New Roman"/>
          <w:color w:val="000000"/>
          <w:sz w:val="18"/>
          <w:szCs w:val="18"/>
          <w:lang w:eastAsia="es-MX"/>
        </w:rPr>
        <w:t>lúpica</w:t>
      </w:r>
      <w:proofErr w:type="spellEnd"/>
      <w:r w:rsidRPr="003D4815">
        <w:rPr>
          <w:rFonts w:ascii="Trebuchet MS" w:eastAsia="Times New Roman" w:hAnsi="Trebuchet MS" w:cs="Times New Roman"/>
          <w:color w:val="000000"/>
          <w:sz w:val="18"/>
          <w:szCs w:val="18"/>
          <w:lang w:eastAsia="es-MX"/>
        </w:rPr>
        <w:t xml:space="preserve">, nefropatía por </w:t>
      </w:r>
      <w:proofErr w:type="spellStart"/>
      <w:r w:rsidRPr="003D4815">
        <w:rPr>
          <w:rFonts w:ascii="Trebuchet MS" w:eastAsia="Times New Roman" w:hAnsi="Trebuchet MS" w:cs="Times New Roman"/>
          <w:color w:val="000000"/>
          <w:sz w:val="18"/>
          <w:szCs w:val="18"/>
          <w:lang w:eastAsia="es-MX"/>
        </w:rPr>
        <w:t>IgA</w:t>
      </w:r>
      <w:proofErr w:type="spellEnd"/>
      <w:r w:rsidRPr="003D4815">
        <w:rPr>
          <w:rFonts w:ascii="Trebuchet MS" w:eastAsia="Times New Roman" w:hAnsi="Trebuchet MS" w:cs="Times New Roman"/>
          <w:color w:val="000000"/>
          <w:sz w:val="18"/>
          <w:szCs w:val="18"/>
          <w:lang w:eastAsia="es-MX"/>
        </w:rPr>
        <w:t xml:space="preserve">, purpura de </w:t>
      </w:r>
      <w:proofErr w:type="spellStart"/>
      <w:r w:rsidRPr="003D4815">
        <w:rPr>
          <w:rFonts w:ascii="Trebuchet MS" w:eastAsia="Times New Roman" w:hAnsi="Trebuchet MS" w:cs="Times New Roman"/>
          <w:color w:val="000000"/>
          <w:sz w:val="18"/>
          <w:szCs w:val="18"/>
          <w:lang w:eastAsia="es-MX"/>
        </w:rPr>
        <w:t>Schönlein-Henoch</w:t>
      </w:r>
      <w:proofErr w:type="spellEnd"/>
      <w:r w:rsidRPr="003D4815">
        <w:rPr>
          <w:rFonts w:ascii="Trebuchet MS" w:eastAsia="Times New Roman" w:hAnsi="Trebuchet MS" w:cs="Times New Roman"/>
          <w:color w:val="000000"/>
          <w:sz w:val="18"/>
          <w:szCs w:val="18"/>
          <w:lang w:eastAsia="es-MX"/>
        </w:rPr>
        <w:t>), pacientes con infecciones activas, aquellos que ya estaban tratados, al momento de la aleatorización, con corticoides o inmunosupresores, y niños con un peso corporal mayor a 30 kilos y/o una superficie corporal mayor a 1 m2.</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INTERVENCIÓN</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 xml:space="preserve">Los pacientes fueron distribuidos al azar en una proporción 1:1 entre un régimen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en relación a la superficie corporal, y en base al peso corporal. El grupo con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con un régimen en base al peso corporal (grupo A) recibió una dosis de 2 mg/kg/día (máximo de 60 mg) en 2 dosis divididas durante 6 semanas, seguidos de una dosis de 1,5 mg/kilo en días alternados con un (máximo de 40 mg) en una dosis única por la mañana durante 6 semanas. El grupo con el régimen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en relación a la superficie corporal (grupo B) recibió una dosis de 60 mg/m2/día (máximo 60 mg) en 2 dosis divididas durante 6 semanas, seguidos por una dosis de 40 mg/m2 en días alternos (máximo 40 mg) en una dosis única por la mañana durante 6 semanas.</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lastRenderedPageBreak/>
        <w:br/>
        <w:t>MEDIDAS DE EVOLUCIÓN</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La principal medida de evaluación fue el tiempo hasta la remisión. Las medidas de evaluación secundarias incluyeron: el número de pacientes con recaída, los eventos adversos asociados a los corticoides, y la dosis acumulativa de corticoides con ambos regímenes.</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PRINCIPALES RESULTADOS</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 xml:space="preserve">-En total se incluyeron 100 niños, que fueron aleatorizados (n=50) a cada grupo </w:t>
      </w:r>
      <w:proofErr w:type="spellStart"/>
      <w:r w:rsidRPr="003D4815">
        <w:rPr>
          <w:rFonts w:ascii="Trebuchet MS" w:eastAsia="Times New Roman" w:hAnsi="Trebuchet MS" w:cs="Times New Roman"/>
          <w:color w:val="000000"/>
          <w:sz w:val="18"/>
          <w:szCs w:val="18"/>
          <w:lang w:eastAsia="es-MX"/>
        </w:rPr>
        <w:t>de</w:t>
      </w:r>
      <w:hyperlink r:id="rId7" w:tooltip="Proceso de intervenir en las personas con el objetivo de mejorar su salud o expectativa de vida. A veces, y en particular en textos estadísticos, el término es utilizado para cubrir todos los grupos de comparación, incluyendo el placebo, de un ensayo controlado e, inclusive, en intervenciones diseñadas para prevenir eventos indeseables en personas sanas, en vez de curar a personas enfermas. Ver también: Datos agregados" w:history="1">
        <w:r w:rsidRPr="003D4815">
          <w:rPr>
            <w:rFonts w:ascii="Trebuchet MS" w:eastAsia="Times New Roman" w:hAnsi="Trebuchet MS" w:cs="Times New Roman"/>
            <w:b/>
            <w:bCs/>
            <w:color w:val="000000"/>
            <w:sz w:val="18"/>
            <w:szCs w:val="18"/>
            <w:u w:val="single"/>
            <w:lang w:eastAsia="es-MX"/>
          </w:rPr>
          <w:t>Tratamiento</w:t>
        </w:r>
        <w:proofErr w:type="spellEnd"/>
      </w:hyperlink>
      <w:r w:rsidRPr="003D4815">
        <w:rPr>
          <w:rFonts w:ascii="Trebuchet MS" w:eastAsia="Times New Roman" w:hAnsi="Trebuchet MS" w:cs="Times New Roman"/>
          <w:color w:val="000000"/>
          <w:sz w:val="18"/>
          <w:szCs w:val="18"/>
          <w:lang w:eastAsia="es-MX"/>
        </w:rPr>
        <w:t>. </w:t>
      </w:r>
      <w:r w:rsidRPr="003D4815">
        <w:rPr>
          <w:rFonts w:ascii="Trebuchet MS" w:eastAsia="Times New Roman" w:hAnsi="Trebuchet MS" w:cs="Times New Roman"/>
          <w:color w:val="000000"/>
          <w:sz w:val="18"/>
          <w:szCs w:val="18"/>
          <w:lang w:eastAsia="es-MX"/>
        </w:rPr>
        <w:br/>
        <w:t>-Se reportan los resultados de 97 pacientes, 48 del grupo A y 49 del grupo B, por falta de datos de 3 pacientes incluidos. </w:t>
      </w:r>
      <w:r w:rsidRPr="003D4815">
        <w:rPr>
          <w:rFonts w:ascii="Trebuchet MS" w:eastAsia="Times New Roman" w:hAnsi="Trebuchet MS" w:cs="Times New Roman"/>
          <w:color w:val="000000"/>
          <w:sz w:val="18"/>
          <w:szCs w:val="18"/>
          <w:lang w:eastAsia="es-MX"/>
        </w:rPr>
        <w:br/>
        <w:t>-Ambos grupos fueron comparables con respecto a las características clínicas y de laboratorio basales. </w:t>
      </w:r>
      <w:r w:rsidRPr="003D4815">
        <w:rPr>
          <w:rFonts w:ascii="Trebuchet MS" w:eastAsia="Times New Roman" w:hAnsi="Trebuchet MS" w:cs="Times New Roman"/>
          <w:color w:val="000000"/>
          <w:sz w:val="18"/>
          <w:szCs w:val="18"/>
          <w:lang w:eastAsia="es-MX"/>
        </w:rPr>
        <w:br/>
        <w:t>-Se observó hipertensión arterial al inicio del episodio del síndrome nefrótico en el 14% de los niños en el grupo A, y en el 18% de los niños en el grupo B. </w:t>
      </w:r>
      <w:r w:rsidRPr="003D4815">
        <w:rPr>
          <w:rFonts w:ascii="Trebuchet MS" w:eastAsia="Times New Roman" w:hAnsi="Trebuchet MS" w:cs="Times New Roman"/>
          <w:color w:val="000000"/>
          <w:sz w:val="18"/>
          <w:szCs w:val="18"/>
          <w:lang w:eastAsia="es-MX"/>
        </w:rPr>
        <w:br/>
        <w:t>-Ninguno de ellos presentó hipertensión persistente. </w:t>
      </w:r>
      <w:r w:rsidRPr="003D4815">
        <w:rPr>
          <w:rFonts w:ascii="Trebuchet MS" w:eastAsia="Times New Roman" w:hAnsi="Trebuchet MS" w:cs="Times New Roman"/>
          <w:color w:val="000000"/>
          <w:sz w:val="18"/>
          <w:szCs w:val="18"/>
          <w:lang w:eastAsia="es-MX"/>
        </w:rPr>
        <w:br/>
        <w:t>-El tiempo a la remisión no fue significativamente diferente entre los grupos (</w:t>
      </w:r>
      <w:hyperlink r:id="rId8" w:tooltip="Valor de la observación que se encuentra en la mitad de las observaciones cuando éstas se encuentran ordenadas." w:history="1">
        <w:r w:rsidRPr="003D4815">
          <w:rPr>
            <w:rFonts w:ascii="Trebuchet MS" w:eastAsia="Times New Roman" w:hAnsi="Trebuchet MS" w:cs="Times New Roman"/>
            <w:b/>
            <w:bCs/>
            <w:color w:val="000000"/>
            <w:sz w:val="18"/>
            <w:szCs w:val="18"/>
            <w:u w:val="single"/>
            <w:lang w:eastAsia="es-MX"/>
          </w:rPr>
          <w:t>Mediana</w:t>
        </w:r>
      </w:hyperlink>
      <w:r w:rsidRPr="003D4815">
        <w:rPr>
          <w:rFonts w:ascii="Trebuchet MS" w:eastAsia="Times New Roman" w:hAnsi="Trebuchet MS" w:cs="Times New Roman"/>
          <w:color w:val="000000"/>
          <w:sz w:val="18"/>
          <w:szCs w:val="18"/>
          <w:lang w:eastAsia="es-MX"/>
        </w:rPr>
        <w:t> de tiempo para la remisión 7 versus 5,5 días; p=0,082, para el grupo A y B, respectivamente). </w:t>
      </w:r>
      <w:r w:rsidRPr="003D4815">
        <w:rPr>
          <w:rFonts w:ascii="Trebuchet MS" w:eastAsia="Times New Roman" w:hAnsi="Trebuchet MS" w:cs="Times New Roman"/>
          <w:color w:val="000000"/>
          <w:sz w:val="18"/>
          <w:szCs w:val="18"/>
          <w:lang w:eastAsia="es-MX"/>
        </w:rPr>
        <w:br/>
        <w:t xml:space="preserve">-La dosis acumulativa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fue significativamente diferente entre los grupos (35 versus 40 mg/kg; p=0,042). </w:t>
      </w:r>
      <w:r w:rsidRPr="003D4815">
        <w:rPr>
          <w:rFonts w:ascii="Trebuchet MS" w:eastAsia="Times New Roman" w:hAnsi="Trebuchet MS" w:cs="Times New Roman"/>
          <w:color w:val="000000"/>
          <w:sz w:val="18"/>
          <w:szCs w:val="18"/>
          <w:lang w:eastAsia="es-MX"/>
        </w:rPr>
        <w:br/>
        <w:t xml:space="preserve">-La dosis acumulativa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al finalizar el período de </w:t>
      </w:r>
      <w:hyperlink r:id="rId9" w:tooltip="La observación en un período de los participantes de un ensayo para evaluar los resultados." w:history="1">
        <w:r w:rsidRPr="003D4815">
          <w:rPr>
            <w:rFonts w:ascii="Trebuchet MS" w:eastAsia="Times New Roman" w:hAnsi="Trebuchet MS" w:cs="Times New Roman"/>
            <w:b/>
            <w:bCs/>
            <w:color w:val="000000"/>
            <w:sz w:val="18"/>
            <w:szCs w:val="18"/>
            <w:u w:val="single"/>
            <w:lang w:eastAsia="es-MX"/>
          </w:rPr>
          <w:t>Seguimiento</w:t>
        </w:r>
      </w:hyperlink>
      <w:r w:rsidRPr="003D4815">
        <w:rPr>
          <w:rFonts w:ascii="Trebuchet MS" w:eastAsia="Times New Roman" w:hAnsi="Trebuchet MS" w:cs="Times New Roman"/>
          <w:color w:val="000000"/>
          <w:sz w:val="18"/>
          <w:szCs w:val="18"/>
          <w:lang w:eastAsia="es-MX"/>
        </w:rPr>
        <w:t> de 6 meses, no fue significativamente diferente entre los grupos. </w:t>
      </w:r>
      <w:r w:rsidRPr="003D4815">
        <w:rPr>
          <w:rFonts w:ascii="Trebuchet MS" w:eastAsia="Times New Roman" w:hAnsi="Trebuchet MS" w:cs="Times New Roman"/>
          <w:color w:val="000000"/>
          <w:sz w:val="18"/>
          <w:szCs w:val="18"/>
          <w:lang w:eastAsia="es-MX"/>
        </w:rPr>
        <w:br/>
        <w:t>-El perfil de eventos adversos entre los grupos no fue significativamente diferente en el análisis con “intención de tratar”. </w:t>
      </w:r>
      <w:r w:rsidRPr="003D4815">
        <w:rPr>
          <w:rFonts w:ascii="Trebuchet MS" w:eastAsia="Times New Roman" w:hAnsi="Trebuchet MS" w:cs="Times New Roman"/>
          <w:color w:val="000000"/>
          <w:sz w:val="18"/>
          <w:szCs w:val="18"/>
          <w:lang w:eastAsia="es-MX"/>
        </w:rPr>
        <w:br/>
        <w:t>-Sin embargo, en el análisis “por </w:t>
      </w:r>
      <w:hyperlink r:id="rId10" w:tooltip="Plan o serie de pasos a seguir en un estudio. Un protocolo para una revisión sistemática debe describir las justificaciones de la misma, los objetivos, y los métodos a utilizar para localizar, seleccionar y evaluar clínicamente los estudios, y para recolectar y analizar los datos de los trabajos incluidos. También llamado Protocolo de revisión." w:history="1">
        <w:r w:rsidRPr="003D4815">
          <w:rPr>
            <w:rFonts w:ascii="Trebuchet MS" w:eastAsia="Times New Roman" w:hAnsi="Trebuchet MS" w:cs="Times New Roman"/>
            <w:b/>
            <w:bCs/>
            <w:color w:val="000000"/>
            <w:sz w:val="18"/>
            <w:szCs w:val="18"/>
            <w:u w:val="single"/>
            <w:lang w:eastAsia="es-MX"/>
          </w:rPr>
          <w:t>Protocolo</w:t>
        </w:r>
      </w:hyperlink>
      <w:r w:rsidRPr="003D4815">
        <w:rPr>
          <w:rFonts w:ascii="Trebuchet MS" w:eastAsia="Times New Roman" w:hAnsi="Trebuchet MS" w:cs="Times New Roman"/>
          <w:color w:val="000000"/>
          <w:sz w:val="18"/>
          <w:szCs w:val="18"/>
          <w:lang w:eastAsia="es-MX"/>
        </w:rPr>
        <w:t>”, se observó una mayor proporción de hipertensión arterial en el grupo B (p=0,048). </w:t>
      </w:r>
      <w:r w:rsidRPr="003D4815">
        <w:rPr>
          <w:rFonts w:ascii="Trebuchet MS" w:eastAsia="Times New Roman" w:hAnsi="Trebuchet MS" w:cs="Times New Roman"/>
          <w:color w:val="000000"/>
          <w:sz w:val="18"/>
          <w:szCs w:val="18"/>
          <w:lang w:eastAsia="es-MX"/>
        </w:rPr>
        <w:br/>
        <w:t xml:space="preserve">-Otros eventos adversos asociadas a los corticoides, incluyendo características </w:t>
      </w:r>
      <w:proofErr w:type="spellStart"/>
      <w:r w:rsidRPr="003D4815">
        <w:rPr>
          <w:rFonts w:ascii="Trebuchet MS" w:eastAsia="Times New Roman" w:hAnsi="Trebuchet MS" w:cs="Times New Roman"/>
          <w:color w:val="000000"/>
          <w:sz w:val="18"/>
          <w:szCs w:val="18"/>
          <w:lang w:eastAsia="es-MX"/>
        </w:rPr>
        <w:t>Cushingoides</w:t>
      </w:r>
      <w:proofErr w:type="spellEnd"/>
      <w:r w:rsidRPr="003D4815">
        <w:rPr>
          <w:rFonts w:ascii="Trebuchet MS" w:eastAsia="Times New Roman" w:hAnsi="Trebuchet MS" w:cs="Times New Roman"/>
          <w:color w:val="000000"/>
          <w:sz w:val="18"/>
          <w:szCs w:val="18"/>
          <w:lang w:eastAsia="es-MX"/>
        </w:rPr>
        <w:t>, infecciones severas, complicaciones oftalmológicas, y cambios de peso no fueron significativamente diferentes entre los grupos. </w:t>
      </w:r>
      <w:r w:rsidRPr="003D4815">
        <w:rPr>
          <w:rFonts w:ascii="Trebuchet MS" w:eastAsia="Times New Roman" w:hAnsi="Trebuchet MS" w:cs="Times New Roman"/>
          <w:color w:val="000000"/>
          <w:sz w:val="18"/>
          <w:szCs w:val="18"/>
          <w:lang w:eastAsia="es-MX"/>
        </w:rPr>
        <w:br/>
        <w:t>-El número de recaídas durante los 6 meses de observación fueron comparables entre los grupos (p=0,974). </w:t>
      </w:r>
      <w:r w:rsidRPr="003D4815">
        <w:rPr>
          <w:rFonts w:ascii="Trebuchet MS" w:eastAsia="Times New Roman" w:hAnsi="Trebuchet MS" w:cs="Times New Roman"/>
          <w:color w:val="000000"/>
          <w:sz w:val="18"/>
          <w:szCs w:val="18"/>
          <w:lang w:eastAsia="es-MX"/>
        </w:rPr>
        <w:br/>
        <w:t>-Se analizaron las correlaciones existentes entre la edad al enrolamiento, y el sexo versus el tiempo hasta la remisión. </w:t>
      </w:r>
      <w:r w:rsidRPr="003D4815">
        <w:rPr>
          <w:rFonts w:ascii="Trebuchet MS" w:eastAsia="Times New Roman" w:hAnsi="Trebuchet MS" w:cs="Times New Roman"/>
          <w:color w:val="000000"/>
          <w:sz w:val="18"/>
          <w:szCs w:val="18"/>
          <w:lang w:eastAsia="es-MX"/>
        </w:rPr>
        <w:br/>
        <w:t>-Se observó una </w:t>
      </w:r>
      <w:hyperlink r:id="rId11" w:tooltip="1. Ver Asociación (correlación positiva es lo mismo que asociación positiva; y correlación negativa, lo mismo que asociación negativa).2. [En estadística:] Asociación lineal entre dos variables, medida por un coeficiente de correlación. Un coeficiente de correlación puede variar entre -1 para la correlación negativa perfecta, y +1 para la correlación positiva perfecta (“perfecto” hace referencia a que todos los puntos yacen sobre una misma línea). Un coeficiente de correlación de 0 indica que no existe relación lineal entre las variables.Ver también: Asociación, Prueba de asociación" w:history="1">
        <w:r w:rsidRPr="003D4815">
          <w:rPr>
            <w:rFonts w:ascii="Trebuchet MS" w:eastAsia="Times New Roman" w:hAnsi="Trebuchet MS" w:cs="Times New Roman"/>
            <w:b/>
            <w:bCs/>
            <w:color w:val="000000"/>
            <w:sz w:val="18"/>
            <w:szCs w:val="18"/>
            <w:u w:val="single"/>
            <w:lang w:eastAsia="es-MX"/>
          </w:rPr>
          <w:t>Correlación</w:t>
        </w:r>
      </w:hyperlink>
      <w:r w:rsidRPr="003D4815">
        <w:rPr>
          <w:rFonts w:ascii="Trebuchet MS" w:eastAsia="Times New Roman" w:hAnsi="Trebuchet MS" w:cs="Times New Roman"/>
          <w:color w:val="000000"/>
          <w:sz w:val="18"/>
          <w:szCs w:val="18"/>
          <w:lang w:eastAsia="es-MX"/>
        </w:rPr>
        <w:t> negativa débil entre la edad al enrolamiento y esta medida de evaluación (</w:t>
      </w:r>
      <w:proofErr w:type="spellStart"/>
      <w:r w:rsidRPr="003D4815">
        <w:rPr>
          <w:rFonts w:ascii="Trebuchet MS" w:eastAsia="Times New Roman" w:hAnsi="Trebuchet MS" w:cs="Times New Roman"/>
          <w:color w:val="000000"/>
          <w:sz w:val="18"/>
          <w:szCs w:val="18"/>
          <w:lang w:eastAsia="es-MX"/>
        </w:rPr>
        <w:t>Spearman’s</w:t>
      </w:r>
      <w:proofErr w:type="spellEnd"/>
      <w:r w:rsidRPr="003D4815">
        <w:rPr>
          <w:rFonts w:ascii="Trebuchet MS" w:eastAsia="Times New Roman" w:hAnsi="Trebuchet MS" w:cs="Times New Roman"/>
          <w:color w:val="000000"/>
          <w:sz w:val="18"/>
          <w:szCs w:val="18"/>
          <w:lang w:eastAsia="es-MX"/>
        </w:rPr>
        <w:t xml:space="preserve"> rho −0,308; [p=0,003]). </w:t>
      </w:r>
      <w:r w:rsidRPr="003D4815">
        <w:rPr>
          <w:rFonts w:ascii="Trebuchet MS" w:eastAsia="Times New Roman" w:hAnsi="Trebuchet MS" w:cs="Times New Roman"/>
          <w:color w:val="000000"/>
          <w:sz w:val="18"/>
          <w:szCs w:val="18"/>
          <w:lang w:eastAsia="es-MX"/>
        </w:rPr>
        <w:br/>
        <w:t>-No se observó una </w:t>
      </w:r>
      <w:hyperlink r:id="rId12" w:tooltip="1. Ver Asociación (correlación positiva es lo mismo que asociación positiva; y correlación negativa, lo mismo que asociación negativa).2. [En estadística:] Asociación lineal entre dos variables, medida por un coeficiente de correlación. Un coeficiente de correlación puede variar entre -1 para la correlación negativa perfecta, y +1 para la correlación positiva perfecta (“perfecto” hace referencia a que todos los puntos yacen sobre una misma línea). Un coeficiente de correlación de 0 indica que no existe relación lineal entre las variables.Ver también: Asociación, Prueba de asociación" w:history="1">
        <w:r w:rsidRPr="003D4815">
          <w:rPr>
            <w:rFonts w:ascii="Trebuchet MS" w:eastAsia="Times New Roman" w:hAnsi="Trebuchet MS" w:cs="Times New Roman"/>
            <w:b/>
            <w:bCs/>
            <w:color w:val="000000"/>
            <w:sz w:val="18"/>
            <w:szCs w:val="18"/>
            <w:u w:val="single"/>
            <w:lang w:eastAsia="es-MX"/>
          </w:rPr>
          <w:t>Correlación</w:t>
        </w:r>
      </w:hyperlink>
      <w:r w:rsidRPr="003D4815">
        <w:rPr>
          <w:rFonts w:ascii="Trebuchet MS" w:eastAsia="Times New Roman" w:hAnsi="Trebuchet MS" w:cs="Times New Roman"/>
          <w:color w:val="000000"/>
          <w:sz w:val="18"/>
          <w:szCs w:val="18"/>
          <w:lang w:eastAsia="es-MX"/>
        </w:rPr>
        <w:t> significativa en relación con el sexo y esta medida de evaluación.</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CONCLUSIÓN</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 xml:space="preserve">Este ensayo demuestra que las medidas de evolución clínicas en niños con síndrome nefrótico son equivalentes, con una dosis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en base al peso corporal en comparación con una dosis en relación a la superficie corporal. La dosis acumulativa es menor en el primer grupo, por lo tanto la práctica de un cálculo de dosis en base al peso corporal podría ser aconsejable en estos pacientes.</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FUENTES DE FINANCIAMIENTO</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Sin financiamiento externo.</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CONTACTO</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 xml:space="preserve">Dirigir correspondencia a: </w:t>
      </w:r>
      <w:proofErr w:type="spellStart"/>
      <w:r w:rsidRPr="003D4815">
        <w:rPr>
          <w:rFonts w:ascii="Trebuchet MS" w:eastAsia="Times New Roman" w:hAnsi="Trebuchet MS" w:cs="Times New Roman"/>
          <w:color w:val="000000"/>
          <w:sz w:val="18"/>
          <w:szCs w:val="18"/>
          <w:lang w:eastAsia="es-MX"/>
        </w:rPr>
        <w:t>Sriram</w:t>
      </w:r>
      <w:proofErr w:type="spellEnd"/>
      <w:r w:rsidRPr="003D4815">
        <w:rPr>
          <w:rFonts w:ascii="Trebuchet MS" w:eastAsia="Times New Roman" w:hAnsi="Trebuchet MS" w:cs="Times New Roman"/>
          <w:color w:val="000000"/>
          <w:sz w:val="18"/>
          <w:szCs w:val="18"/>
          <w:lang w:eastAsia="es-MX"/>
        </w:rPr>
        <w:t xml:space="preserve"> </w:t>
      </w:r>
      <w:proofErr w:type="spellStart"/>
      <w:r w:rsidRPr="003D4815">
        <w:rPr>
          <w:rFonts w:ascii="Trebuchet MS" w:eastAsia="Times New Roman" w:hAnsi="Trebuchet MS" w:cs="Times New Roman"/>
          <w:color w:val="000000"/>
          <w:sz w:val="18"/>
          <w:szCs w:val="18"/>
          <w:lang w:eastAsia="es-MX"/>
        </w:rPr>
        <w:t>Krishnamurthy</w:t>
      </w:r>
      <w:proofErr w:type="spellEnd"/>
      <w:r w:rsidRPr="003D4815">
        <w:rPr>
          <w:rFonts w:ascii="Trebuchet MS" w:eastAsia="Times New Roman" w:hAnsi="Trebuchet MS" w:cs="Times New Roman"/>
          <w:color w:val="000000"/>
          <w:sz w:val="18"/>
          <w:szCs w:val="18"/>
          <w:lang w:eastAsia="es-MX"/>
        </w:rPr>
        <w:t>. E-mail: drsriramk@yahoo.com</w:t>
      </w:r>
    </w:p>
    <w:p w:rsidR="003D4815" w:rsidRPr="003D4815" w:rsidRDefault="003D4815" w:rsidP="003D4815">
      <w:pPr>
        <w:shd w:val="clear" w:color="auto" w:fill="FFFFFF"/>
        <w:spacing w:after="0" w:line="240" w:lineRule="atLeast"/>
        <w:rPr>
          <w:rFonts w:ascii="Trebuchet MS" w:eastAsia="Times New Roman" w:hAnsi="Trebuchet MS" w:cs="Times New Roman"/>
          <w:color w:val="5A911A"/>
          <w:sz w:val="18"/>
          <w:szCs w:val="18"/>
          <w:lang w:eastAsia="es-MX"/>
        </w:rPr>
      </w:pPr>
      <w:r w:rsidRPr="003D4815">
        <w:rPr>
          <w:rFonts w:ascii="Trebuchet MS" w:eastAsia="Times New Roman" w:hAnsi="Trebuchet MS" w:cs="Times New Roman"/>
          <w:color w:val="5A911A"/>
          <w:sz w:val="18"/>
          <w:szCs w:val="18"/>
          <w:lang w:eastAsia="es-MX"/>
        </w:rPr>
        <w:br/>
        <w:t>EXPERTO INVITADO</w:t>
      </w:r>
    </w:p>
    <w:p w:rsidR="003D4815" w:rsidRPr="003D4815" w:rsidRDefault="003D4815" w:rsidP="003D4815">
      <w:pPr>
        <w:shd w:val="clear" w:color="auto" w:fill="FFFFFF"/>
        <w:spacing w:after="0" w:line="240" w:lineRule="atLeast"/>
        <w:rPr>
          <w:rFonts w:ascii="Trebuchet MS" w:eastAsia="Times New Roman" w:hAnsi="Trebuchet MS" w:cs="Times New Roman"/>
          <w:color w:val="000000"/>
          <w:sz w:val="18"/>
          <w:szCs w:val="18"/>
          <w:lang w:eastAsia="es-MX"/>
        </w:rPr>
      </w:pPr>
      <w:r w:rsidRPr="003D4815">
        <w:rPr>
          <w:rFonts w:ascii="Trebuchet MS" w:eastAsia="Times New Roman" w:hAnsi="Trebuchet MS" w:cs="Times New Roman"/>
          <w:color w:val="000000"/>
          <w:sz w:val="18"/>
          <w:szCs w:val="18"/>
          <w:lang w:eastAsia="es-MX"/>
        </w:rPr>
        <w:t xml:space="preserve">Los autores relatan que una posible razón para que el tiempo a la remisión no fuese afectado en base al régimen terapéutico elegido, podría deberse a que los corticoides actúan por otros mecanismos diferentes, además del efecto inmunosupresor en esta enfermedad. En otros estudios, se propuso que la dosis de </w:t>
      </w:r>
      <w:proofErr w:type="spellStart"/>
      <w:r w:rsidRPr="003D4815">
        <w:rPr>
          <w:rFonts w:ascii="Trebuchet MS" w:eastAsia="Times New Roman" w:hAnsi="Trebuchet MS" w:cs="Times New Roman"/>
          <w:color w:val="000000"/>
          <w:sz w:val="18"/>
          <w:szCs w:val="18"/>
          <w:lang w:eastAsia="es-MX"/>
        </w:rPr>
        <w:t>prednisolona</w:t>
      </w:r>
      <w:proofErr w:type="spellEnd"/>
      <w:r w:rsidRPr="003D4815">
        <w:rPr>
          <w:rFonts w:ascii="Trebuchet MS" w:eastAsia="Times New Roman" w:hAnsi="Trebuchet MS" w:cs="Times New Roman"/>
          <w:color w:val="000000"/>
          <w:sz w:val="18"/>
          <w:szCs w:val="18"/>
          <w:lang w:eastAsia="es-MX"/>
        </w:rPr>
        <w:t xml:space="preserve"> requerida para la estabilización del </w:t>
      </w:r>
      <w:proofErr w:type="spellStart"/>
      <w:r w:rsidRPr="003D4815">
        <w:rPr>
          <w:rFonts w:ascii="Trebuchet MS" w:eastAsia="Times New Roman" w:hAnsi="Trebuchet MS" w:cs="Times New Roman"/>
          <w:color w:val="000000"/>
          <w:sz w:val="18"/>
          <w:szCs w:val="18"/>
          <w:lang w:eastAsia="es-MX"/>
        </w:rPr>
        <w:t>citoesqueleto</w:t>
      </w:r>
      <w:proofErr w:type="spellEnd"/>
      <w:r w:rsidRPr="003D4815">
        <w:rPr>
          <w:rFonts w:ascii="Trebuchet MS" w:eastAsia="Times New Roman" w:hAnsi="Trebuchet MS" w:cs="Times New Roman"/>
          <w:color w:val="000000"/>
          <w:sz w:val="18"/>
          <w:szCs w:val="18"/>
          <w:lang w:eastAsia="es-MX"/>
        </w:rPr>
        <w:t xml:space="preserve"> de los </w:t>
      </w:r>
      <w:proofErr w:type="spellStart"/>
      <w:r w:rsidRPr="003D4815">
        <w:rPr>
          <w:rFonts w:ascii="Trebuchet MS" w:eastAsia="Times New Roman" w:hAnsi="Trebuchet MS" w:cs="Times New Roman"/>
          <w:color w:val="000000"/>
          <w:sz w:val="18"/>
          <w:szCs w:val="18"/>
          <w:lang w:eastAsia="es-MX"/>
        </w:rPr>
        <w:t>podocitos</w:t>
      </w:r>
      <w:proofErr w:type="spellEnd"/>
      <w:r w:rsidRPr="003D4815">
        <w:rPr>
          <w:rFonts w:ascii="Trebuchet MS" w:eastAsia="Times New Roman" w:hAnsi="Trebuchet MS" w:cs="Times New Roman"/>
          <w:color w:val="000000"/>
          <w:sz w:val="18"/>
          <w:szCs w:val="18"/>
          <w:lang w:eastAsia="es-MX"/>
        </w:rPr>
        <w:t xml:space="preserve"> podría ser menor que la necesaria para generar un efecto inmunosupresor. También se estableció que la estabilización de los </w:t>
      </w:r>
      <w:proofErr w:type="spellStart"/>
      <w:r w:rsidRPr="003D4815">
        <w:rPr>
          <w:rFonts w:ascii="Trebuchet MS" w:eastAsia="Times New Roman" w:hAnsi="Trebuchet MS" w:cs="Times New Roman"/>
          <w:color w:val="000000"/>
          <w:sz w:val="18"/>
          <w:szCs w:val="18"/>
          <w:lang w:eastAsia="es-MX"/>
        </w:rPr>
        <w:t>podocitos</w:t>
      </w:r>
      <w:proofErr w:type="spellEnd"/>
      <w:r w:rsidRPr="003D4815">
        <w:rPr>
          <w:rFonts w:ascii="Trebuchet MS" w:eastAsia="Times New Roman" w:hAnsi="Trebuchet MS" w:cs="Times New Roman"/>
          <w:color w:val="000000"/>
          <w:sz w:val="18"/>
          <w:szCs w:val="18"/>
          <w:lang w:eastAsia="es-MX"/>
        </w:rPr>
        <w:t xml:space="preserve"> se debería a la síntesis de </w:t>
      </w:r>
      <w:proofErr w:type="spellStart"/>
      <w:r w:rsidRPr="003D4815">
        <w:rPr>
          <w:rFonts w:ascii="Trebuchet MS" w:eastAsia="Times New Roman" w:hAnsi="Trebuchet MS" w:cs="Times New Roman"/>
          <w:color w:val="000000"/>
          <w:sz w:val="18"/>
          <w:szCs w:val="18"/>
          <w:lang w:eastAsia="es-MX"/>
        </w:rPr>
        <w:t>nefrina</w:t>
      </w:r>
      <w:proofErr w:type="spellEnd"/>
      <w:r w:rsidRPr="003D4815">
        <w:rPr>
          <w:rFonts w:ascii="Trebuchet MS" w:eastAsia="Times New Roman" w:hAnsi="Trebuchet MS" w:cs="Times New Roman"/>
          <w:color w:val="000000"/>
          <w:sz w:val="18"/>
          <w:szCs w:val="18"/>
          <w:lang w:eastAsia="es-MX"/>
        </w:rPr>
        <w:t xml:space="preserve"> </w:t>
      </w:r>
      <w:proofErr w:type="spellStart"/>
      <w:r w:rsidRPr="003D4815">
        <w:rPr>
          <w:rFonts w:ascii="Trebuchet MS" w:eastAsia="Times New Roman" w:hAnsi="Trebuchet MS" w:cs="Times New Roman"/>
          <w:color w:val="000000"/>
          <w:sz w:val="18"/>
          <w:szCs w:val="18"/>
          <w:lang w:eastAsia="es-MX"/>
        </w:rPr>
        <w:t>glicosilada</w:t>
      </w:r>
      <w:proofErr w:type="spellEnd"/>
      <w:r w:rsidRPr="003D4815">
        <w:rPr>
          <w:rFonts w:ascii="Trebuchet MS" w:eastAsia="Times New Roman" w:hAnsi="Trebuchet MS" w:cs="Times New Roman"/>
          <w:color w:val="000000"/>
          <w:sz w:val="18"/>
          <w:szCs w:val="18"/>
          <w:lang w:eastAsia="es-MX"/>
        </w:rPr>
        <w:t>. </w:t>
      </w:r>
      <w:r w:rsidRPr="003D4815">
        <w:rPr>
          <w:rFonts w:ascii="Trebuchet MS" w:eastAsia="Times New Roman" w:hAnsi="Trebuchet MS" w:cs="Times New Roman"/>
          <w:color w:val="000000"/>
          <w:sz w:val="18"/>
          <w:szCs w:val="18"/>
          <w:lang w:eastAsia="es-MX"/>
        </w:rPr>
        <w:br/>
        <w:t xml:space="preserve">Los autores remarcan algunas fortalezas en este ensayo. En primer lugar, que el diseño aleatorizado difiere </w:t>
      </w:r>
      <w:r w:rsidRPr="003D4815">
        <w:rPr>
          <w:rFonts w:ascii="Trebuchet MS" w:eastAsia="Times New Roman" w:hAnsi="Trebuchet MS" w:cs="Times New Roman"/>
          <w:color w:val="000000"/>
          <w:sz w:val="18"/>
          <w:szCs w:val="18"/>
          <w:lang w:eastAsia="es-MX"/>
        </w:rPr>
        <w:lastRenderedPageBreak/>
        <w:t>de los estudios previamente publicados. Además establecen que el </w:t>
      </w:r>
      <w:hyperlink r:id="rId13" w:tooltip="[En estadística:] Probabilidad de rechazar la hipótesis nula cuando una hipótesis alterna específica es cierta. El poder de una prueba de hipótesis es igual a uno menos la probabilidad de error de tipo II o beta. En los ensayos clínicos, el poder es la probabilidad de que el ensayo detecte como estadísticamente significativo un efecto de determinada magnitud. Si un ensayo tiene un poder de 0,80 (u 80%), asumiendo que verdaderamente existe el efecto del tratamiento estudiado, entonces si el ensayo se repitiera 100 veces, se hallaría un efecto estadísticamente significativo del tratamiento en 80 ocasiones. Idealmente, queremos que una prueba tenga alto poder, cercano al máximo posible (100%). Para una determinada magnitud del efecto, los estudios con más participantes tienen mayor poder. Los estudios con un determinado número de participantes tienen más poder para detectar efectos de mayor magnitud que los de menor. También llamado Poder estadístico" w:history="1">
        <w:r w:rsidRPr="003D4815">
          <w:rPr>
            <w:rFonts w:ascii="Trebuchet MS" w:eastAsia="Times New Roman" w:hAnsi="Trebuchet MS" w:cs="Times New Roman"/>
            <w:b/>
            <w:bCs/>
            <w:color w:val="000000"/>
            <w:sz w:val="18"/>
            <w:szCs w:val="18"/>
            <w:u w:val="single"/>
            <w:lang w:eastAsia="es-MX"/>
          </w:rPr>
          <w:t>Poder</w:t>
        </w:r>
      </w:hyperlink>
      <w:r w:rsidRPr="003D4815">
        <w:rPr>
          <w:rFonts w:ascii="Trebuchet MS" w:eastAsia="Times New Roman" w:hAnsi="Trebuchet MS" w:cs="Times New Roman"/>
          <w:color w:val="000000"/>
          <w:sz w:val="18"/>
          <w:szCs w:val="18"/>
          <w:lang w:eastAsia="es-MX"/>
        </w:rPr>
        <w:t> de este ensayo fue suficiente para examinar la diferencia del tiempo a la remisión en ambos grupos, ya que el tamaño de la muestra fue adecuado y la pérdida en el </w:t>
      </w:r>
      <w:hyperlink r:id="rId14" w:tooltip="La observación en un período de los participantes de un ensayo para evaluar los resultados." w:history="1">
        <w:r w:rsidRPr="003D4815">
          <w:rPr>
            <w:rFonts w:ascii="Trebuchet MS" w:eastAsia="Times New Roman" w:hAnsi="Trebuchet MS" w:cs="Times New Roman"/>
            <w:b/>
            <w:bCs/>
            <w:color w:val="000000"/>
            <w:sz w:val="18"/>
            <w:szCs w:val="18"/>
            <w:u w:val="single"/>
            <w:lang w:eastAsia="es-MX"/>
          </w:rPr>
          <w:t>Seguimiento</w:t>
        </w:r>
      </w:hyperlink>
      <w:r w:rsidRPr="003D4815">
        <w:rPr>
          <w:rFonts w:ascii="Trebuchet MS" w:eastAsia="Times New Roman" w:hAnsi="Trebuchet MS" w:cs="Times New Roman"/>
          <w:color w:val="000000"/>
          <w:sz w:val="18"/>
          <w:szCs w:val="18"/>
          <w:lang w:eastAsia="es-MX"/>
        </w:rPr>
        <w:t xml:space="preserve"> aceptable. También remarcan algunas limitaciones. En primer lugar, la dificultad para sacar conclusiones definitivas, en relación con las medidas de evaluación secundarias, ya que el estudio no tuvo </w:t>
      </w:r>
      <w:proofErr w:type="spellStart"/>
      <w:r w:rsidRPr="003D4815">
        <w:rPr>
          <w:rFonts w:ascii="Trebuchet MS" w:eastAsia="Times New Roman" w:hAnsi="Trebuchet MS" w:cs="Times New Roman"/>
          <w:color w:val="000000"/>
          <w:sz w:val="18"/>
          <w:szCs w:val="18"/>
          <w:lang w:eastAsia="es-MX"/>
        </w:rPr>
        <w:t>un</w:t>
      </w:r>
      <w:hyperlink r:id="rId15" w:tooltip="[En estadística:] Probabilidad de rechazar la hipótesis nula cuando una hipótesis alterna específica es cierta. El poder de una prueba de hipótesis es igual a uno menos la probabilidad de error de tipo II o beta. En los ensayos clínicos, el poder es la probabilidad de que el ensayo detecte como estadísticamente significativo un efecto de determinada magnitud. Si un ensayo tiene un poder de 0,80 (u 80%), asumiendo que verdaderamente existe el efecto del tratamiento estudiado, entonces si el ensayo se repitiera 100 veces, se hallaría un efecto estadísticamente significativo del tratamiento en 80 ocasiones. Idealmente, queremos que una prueba tenga alto poder, cercano al máximo posible (100%). Para una determinada magnitud del efecto, los estudios con más participantes tienen mayor poder. Los estudios con un determinado número de participantes tienen más poder para detectar efectos de mayor magnitud que los de menor. También llamado Poder estadístico" w:history="1">
        <w:r w:rsidRPr="003D4815">
          <w:rPr>
            <w:rFonts w:ascii="Trebuchet MS" w:eastAsia="Times New Roman" w:hAnsi="Trebuchet MS" w:cs="Times New Roman"/>
            <w:b/>
            <w:bCs/>
            <w:color w:val="000000"/>
            <w:sz w:val="18"/>
            <w:szCs w:val="18"/>
            <w:u w:val="single"/>
            <w:lang w:eastAsia="es-MX"/>
          </w:rPr>
          <w:t>Poder</w:t>
        </w:r>
        <w:proofErr w:type="spellEnd"/>
      </w:hyperlink>
      <w:r w:rsidRPr="003D4815">
        <w:rPr>
          <w:rFonts w:ascii="Trebuchet MS" w:eastAsia="Times New Roman" w:hAnsi="Trebuchet MS" w:cs="Times New Roman"/>
          <w:color w:val="000000"/>
          <w:sz w:val="18"/>
          <w:szCs w:val="18"/>
          <w:lang w:eastAsia="es-MX"/>
        </w:rPr>
        <w:t> suficiente en este sentido. Los autores relatan que este estudio se desarrolló en el sur de la India, y por lo tanto no podría ser generalizable con otras etnias. También no fue posible evaluar la variabilidad </w:t>
      </w:r>
      <w:r w:rsidRPr="003D4815">
        <w:rPr>
          <w:rFonts w:ascii="Trebuchet MS" w:eastAsia="Times New Roman" w:hAnsi="Trebuchet MS" w:cs="Times New Roman"/>
          <w:color w:val="000000"/>
          <w:sz w:val="18"/>
          <w:szCs w:val="18"/>
          <w:lang w:eastAsia="es-MX"/>
        </w:rPr>
        <w:br/>
        <w:t>inter-paciente de la </w:t>
      </w:r>
      <w:hyperlink r:id="rId16" w:tooltip="Medida en la que una intervención produce un resultado beneficioso en condiciones ideales. Los ensayos clínicos que evalúan la eficacia a veces se denominan ensayos explicativos, y se limitan a los participantes que cooperan plenamente." w:history="1">
        <w:r w:rsidRPr="003D4815">
          <w:rPr>
            <w:rFonts w:ascii="Trebuchet MS" w:eastAsia="Times New Roman" w:hAnsi="Trebuchet MS" w:cs="Times New Roman"/>
            <w:b/>
            <w:bCs/>
            <w:color w:val="000000"/>
            <w:sz w:val="18"/>
            <w:szCs w:val="18"/>
            <w:u w:val="single"/>
            <w:lang w:eastAsia="es-MX"/>
          </w:rPr>
          <w:t>Eficacia</w:t>
        </w:r>
      </w:hyperlink>
      <w:r w:rsidRPr="003D4815">
        <w:rPr>
          <w:rFonts w:ascii="Trebuchet MS" w:eastAsia="Times New Roman" w:hAnsi="Trebuchet MS" w:cs="Times New Roman"/>
          <w:color w:val="000000"/>
          <w:sz w:val="18"/>
          <w:szCs w:val="18"/>
          <w:lang w:eastAsia="es-MX"/>
        </w:rPr>
        <w:t> de los corticoides. En relación con los eventos adversos, reconocen que el periodo de observación fue corto y el número de eventos escaso para evaluarlas de manera concluyente. Un periodo de </w:t>
      </w:r>
      <w:proofErr w:type="spellStart"/>
      <w:r w:rsidRPr="003D4815">
        <w:rPr>
          <w:rFonts w:ascii="Trebuchet MS" w:eastAsia="Times New Roman" w:hAnsi="Trebuchet MS" w:cs="Times New Roman"/>
          <w:b/>
          <w:bCs/>
          <w:color w:val="000000"/>
          <w:sz w:val="18"/>
          <w:szCs w:val="18"/>
          <w:lang w:eastAsia="es-MX"/>
        </w:rPr>
        <w:fldChar w:fldCharType="begin"/>
      </w:r>
      <w:r w:rsidRPr="003D4815">
        <w:rPr>
          <w:rFonts w:ascii="Trebuchet MS" w:eastAsia="Times New Roman" w:hAnsi="Trebuchet MS" w:cs="Times New Roman"/>
          <w:b/>
          <w:bCs/>
          <w:color w:val="000000"/>
          <w:sz w:val="18"/>
          <w:szCs w:val="18"/>
          <w:lang w:eastAsia="es-MX"/>
        </w:rPr>
        <w:instrText xml:space="preserve"> HYPERLINK "http://medline.rima.org/Sinopsis.aspx?Id=15109" \o "La observación en un período de los participantes de un ensayo para evaluar los resultados." </w:instrText>
      </w:r>
      <w:r w:rsidRPr="003D4815">
        <w:rPr>
          <w:rFonts w:ascii="Trebuchet MS" w:eastAsia="Times New Roman" w:hAnsi="Trebuchet MS" w:cs="Times New Roman"/>
          <w:b/>
          <w:bCs/>
          <w:color w:val="000000"/>
          <w:sz w:val="18"/>
          <w:szCs w:val="18"/>
          <w:lang w:eastAsia="es-MX"/>
        </w:rPr>
        <w:fldChar w:fldCharType="separate"/>
      </w:r>
      <w:r w:rsidRPr="003D4815">
        <w:rPr>
          <w:rFonts w:ascii="Trebuchet MS" w:eastAsia="Times New Roman" w:hAnsi="Trebuchet MS" w:cs="Times New Roman"/>
          <w:b/>
          <w:bCs/>
          <w:color w:val="000000"/>
          <w:sz w:val="18"/>
          <w:szCs w:val="18"/>
          <w:u w:val="single"/>
          <w:lang w:eastAsia="es-MX"/>
        </w:rPr>
        <w:t>Seguimiento</w:t>
      </w:r>
      <w:r w:rsidRPr="003D4815">
        <w:rPr>
          <w:rFonts w:ascii="Trebuchet MS" w:eastAsia="Times New Roman" w:hAnsi="Trebuchet MS" w:cs="Times New Roman"/>
          <w:b/>
          <w:bCs/>
          <w:color w:val="000000"/>
          <w:sz w:val="18"/>
          <w:szCs w:val="18"/>
          <w:lang w:eastAsia="es-MX"/>
        </w:rPr>
        <w:fldChar w:fldCharType="end"/>
      </w:r>
      <w:r w:rsidRPr="003D4815">
        <w:rPr>
          <w:rFonts w:ascii="Trebuchet MS" w:eastAsia="Times New Roman" w:hAnsi="Trebuchet MS" w:cs="Times New Roman"/>
          <w:color w:val="000000"/>
          <w:sz w:val="18"/>
          <w:szCs w:val="18"/>
          <w:lang w:eastAsia="es-MX"/>
        </w:rPr>
        <w:t>más</w:t>
      </w:r>
      <w:proofErr w:type="spellEnd"/>
      <w:r w:rsidRPr="003D4815">
        <w:rPr>
          <w:rFonts w:ascii="Trebuchet MS" w:eastAsia="Times New Roman" w:hAnsi="Trebuchet MS" w:cs="Times New Roman"/>
          <w:color w:val="000000"/>
          <w:sz w:val="18"/>
          <w:szCs w:val="18"/>
          <w:lang w:eastAsia="es-MX"/>
        </w:rPr>
        <w:t xml:space="preserve"> prolongado sería necesario para evaluar los efectos cardiovasculares, la altura final, y la densidad mineral ósea con estos fármacos. </w:t>
      </w:r>
    </w:p>
    <w:p w:rsidR="003F67FA" w:rsidRDefault="003F67FA">
      <w:bookmarkStart w:id="0" w:name="_GoBack"/>
      <w:bookmarkEnd w:id="0"/>
    </w:p>
    <w:sectPr w:rsidR="003F67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15"/>
    <w:rsid w:val="003D4815"/>
    <w:rsid w:val="003F6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71052">
      <w:bodyDiv w:val="1"/>
      <w:marLeft w:val="0"/>
      <w:marRight w:val="0"/>
      <w:marTop w:val="0"/>
      <w:marBottom w:val="0"/>
      <w:divBdr>
        <w:top w:val="none" w:sz="0" w:space="0" w:color="auto"/>
        <w:left w:val="none" w:sz="0" w:space="0" w:color="auto"/>
        <w:bottom w:val="none" w:sz="0" w:space="0" w:color="auto"/>
        <w:right w:val="none" w:sz="0" w:space="0" w:color="auto"/>
      </w:divBdr>
      <w:divsChild>
        <w:div w:id="1134176676">
          <w:marLeft w:val="0"/>
          <w:marRight w:val="15"/>
          <w:marTop w:val="0"/>
          <w:marBottom w:val="150"/>
          <w:divBdr>
            <w:top w:val="none" w:sz="0" w:space="0" w:color="auto"/>
            <w:left w:val="none" w:sz="0" w:space="0" w:color="auto"/>
            <w:bottom w:val="single" w:sz="6" w:space="8" w:color="666666"/>
            <w:right w:val="none" w:sz="0" w:space="0" w:color="auto"/>
          </w:divBdr>
        </w:div>
        <w:div w:id="490831008">
          <w:marLeft w:val="0"/>
          <w:marRight w:val="0"/>
          <w:marTop w:val="0"/>
          <w:marBottom w:val="0"/>
          <w:divBdr>
            <w:top w:val="none" w:sz="0" w:space="0" w:color="auto"/>
            <w:left w:val="none" w:sz="0" w:space="0" w:color="auto"/>
            <w:bottom w:val="none" w:sz="0" w:space="0" w:color="auto"/>
            <w:right w:val="none" w:sz="0" w:space="0" w:color="auto"/>
          </w:divBdr>
          <w:divsChild>
            <w:div w:id="2104262350">
              <w:marLeft w:val="0"/>
              <w:marRight w:val="0"/>
              <w:marTop w:val="0"/>
              <w:marBottom w:val="0"/>
              <w:divBdr>
                <w:top w:val="none" w:sz="0" w:space="0" w:color="auto"/>
                <w:left w:val="none" w:sz="0" w:space="0" w:color="auto"/>
                <w:bottom w:val="none" w:sz="0" w:space="0" w:color="auto"/>
                <w:right w:val="none" w:sz="0" w:space="0" w:color="auto"/>
              </w:divBdr>
              <w:divsChild>
                <w:div w:id="515727854">
                  <w:marLeft w:val="0"/>
                  <w:marRight w:val="0"/>
                  <w:marTop w:val="0"/>
                  <w:marBottom w:val="0"/>
                  <w:divBdr>
                    <w:top w:val="none" w:sz="0" w:space="0" w:color="auto"/>
                    <w:left w:val="none" w:sz="0" w:space="0" w:color="auto"/>
                    <w:bottom w:val="none" w:sz="0" w:space="0" w:color="auto"/>
                    <w:right w:val="none" w:sz="0" w:space="0" w:color="auto"/>
                  </w:divBdr>
                </w:div>
              </w:divsChild>
            </w:div>
            <w:div w:id="1064452691">
              <w:marLeft w:val="0"/>
              <w:marRight w:val="0"/>
              <w:marTop w:val="0"/>
              <w:marBottom w:val="0"/>
              <w:divBdr>
                <w:top w:val="none" w:sz="0" w:space="0" w:color="auto"/>
                <w:left w:val="none" w:sz="0" w:space="0" w:color="auto"/>
                <w:bottom w:val="none" w:sz="0" w:space="0" w:color="auto"/>
                <w:right w:val="none" w:sz="0" w:space="0" w:color="auto"/>
              </w:divBdr>
              <w:divsChild>
                <w:div w:id="1433478071">
                  <w:marLeft w:val="0"/>
                  <w:marRight w:val="0"/>
                  <w:marTop w:val="0"/>
                  <w:marBottom w:val="0"/>
                  <w:divBdr>
                    <w:top w:val="none" w:sz="0" w:space="0" w:color="auto"/>
                    <w:left w:val="none" w:sz="0" w:space="0" w:color="auto"/>
                    <w:bottom w:val="none" w:sz="0" w:space="0" w:color="auto"/>
                    <w:right w:val="none" w:sz="0" w:space="0" w:color="auto"/>
                  </w:divBdr>
                </w:div>
              </w:divsChild>
            </w:div>
            <w:div w:id="1834447749">
              <w:marLeft w:val="0"/>
              <w:marRight w:val="0"/>
              <w:marTop w:val="0"/>
              <w:marBottom w:val="0"/>
              <w:divBdr>
                <w:top w:val="none" w:sz="0" w:space="0" w:color="auto"/>
                <w:left w:val="none" w:sz="0" w:space="0" w:color="auto"/>
                <w:bottom w:val="none" w:sz="0" w:space="0" w:color="auto"/>
                <w:right w:val="none" w:sz="0" w:space="0" w:color="auto"/>
              </w:divBdr>
              <w:divsChild>
                <w:div w:id="2071727985">
                  <w:marLeft w:val="0"/>
                  <w:marRight w:val="0"/>
                  <w:marTop w:val="0"/>
                  <w:marBottom w:val="0"/>
                  <w:divBdr>
                    <w:top w:val="none" w:sz="0" w:space="0" w:color="auto"/>
                    <w:left w:val="none" w:sz="0" w:space="0" w:color="auto"/>
                    <w:bottom w:val="none" w:sz="0" w:space="0" w:color="auto"/>
                    <w:right w:val="none" w:sz="0" w:space="0" w:color="auto"/>
                  </w:divBdr>
                </w:div>
              </w:divsChild>
            </w:div>
            <w:div w:id="1039235260">
              <w:marLeft w:val="0"/>
              <w:marRight w:val="0"/>
              <w:marTop w:val="0"/>
              <w:marBottom w:val="0"/>
              <w:divBdr>
                <w:top w:val="none" w:sz="0" w:space="0" w:color="auto"/>
                <w:left w:val="none" w:sz="0" w:space="0" w:color="auto"/>
                <w:bottom w:val="none" w:sz="0" w:space="0" w:color="auto"/>
                <w:right w:val="none" w:sz="0" w:space="0" w:color="auto"/>
              </w:divBdr>
              <w:divsChild>
                <w:div w:id="1400204067">
                  <w:marLeft w:val="0"/>
                  <w:marRight w:val="0"/>
                  <w:marTop w:val="0"/>
                  <w:marBottom w:val="0"/>
                  <w:divBdr>
                    <w:top w:val="none" w:sz="0" w:space="0" w:color="auto"/>
                    <w:left w:val="none" w:sz="0" w:space="0" w:color="auto"/>
                    <w:bottom w:val="none" w:sz="0" w:space="0" w:color="auto"/>
                    <w:right w:val="none" w:sz="0" w:space="0" w:color="auto"/>
                  </w:divBdr>
                </w:div>
              </w:divsChild>
            </w:div>
            <w:div w:id="1757244063">
              <w:marLeft w:val="0"/>
              <w:marRight w:val="0"/>
              <w:marTop w:val="0"/>
              <w:marBottom w:val="0"/>
              <w:divBdr>
                <w:top w:val="none" w:sz="0" w:space="0" w:color="auto"/>
                <w:left w:val="none" w:sz="0" w:space="0" w:color="auto"/>
                <w:bottom w:val="none" w:sz="0" w:space="0" w:color="auto"/>
                <w:right w:val="none" w:sz="0" w:space="0" w:color="auto"/>
              </w:divBdr>
              <w:divsChild>
                <w:div w:id="1601789254">
                  <w:marLeft w:val="0"/>
                  <w:marRight w:val="0"/>
                  <w:marTop w:val="0"/>
                  <w:marBottom w:val="0"/>
                  <w:divBdr>
                    <w:top w:val="none" w:sz="0" w:space="0" w:color="auto"/>
                    <w:left w:val="none" w:sz="0" w:space="0" w:color="auto"/>
                    <w:bottom w:val="none" w:sz="0" w:space="0" w:color="auto"/>
                    <w:right w:val="none" w:sz="0" w:space="0" w:color="auto"/>
                  </w:divBdr>
                </w:div>
              </w:divsChild>
            </w:div>
            <w:div w:id="214977627">
              <w:marLeft w:val="0"/>
              <w:marRight w:val="0"/>
              <w:marTop w:val="0"/>
              <w:marBottom w:val="0"/>
              <w:divBdr>
                <w:top w:val="none" w:sz="0" w:space="0" w:color="auto"/>
                <w:left w:val="none" w:sz="0" w:space="0" w:color="auto"/>
                <w:bottom w:val="none" w:sz="0" w:space="0" w:color="auto"/>
                <w:right w:val="none" w:sz="0" w:space="0" w:color="auto"/>
              </w:divBdr>
              <w:divsChild>
                <w:div w:id="2026518432">
                  <w:marLeft w:val="0"/>
                  <w:marRight w:val="0"/>
                  <w:marTop w:val="0"/>
                  <w:marBottom w:val="0"/>
                  <w:divBdr>
                    <w:top w:val="none" w:sz="0" w:space="0" w:color="auto"/>
                    <w:left w:val="none" w:sz="0" w:space="0" w:color="auto"/>
                    <w:bottom w:val="none" w:sz="0" w:space="0" w:color="auto"/>
                    <w:right w:val="none" w:sz="0" w:space="0" w:color="auto"/>
                  </w:divBdr>
                </w:div>
              </w:divsChild>
            </w:div>
            <w:div w:id="292096638">
              <w:marLeft w:val="0"/>
              <w:marRight w:val="0"/>
              <w:marTop w:val="0"/>
              <w:marBottom w:val="0"/>
              <w:divBdr>
                <w:top w:val="none" w:sz="0" w:space="0" w:color="auto"/>
                <w:left w:val="none" w:sz="0" w:space="0" w:color="auto"/>
                <w:bottom w:val="none" w:sz="0" w:space="0" w:color="auto"/>
                <w:right w:val="none" w:sz="0" w:space="0" w:color="auto"/>
              </w:divBdr>
              <w:divsChild>
                <w:div w:id="1554734173">
                  <w:marLeft w:val="0"/>
                  <w:marRight w:val="0"/>
                  <w:marTop w:val="0"/>
                  <w:marBottom w:val="0"/>
                  <w:divBdr>
                    <w:top w:val="none" w:sz="0" w:space="0" w:color="auto"/>
                    <w:left w:val="none" w:sz="0" w:space="0" w:color="auto"/>
                    <w:bottom w:val="none" w:sz="0" w:space="0" w:color="auto"/>
                    <w:right w:val="none" w:sz="0" w:space="0" w:color="auto"/>
                  </w:divBdr>
                </w:div>
              </w:divsChild>
            </w:div>
            <w:div w:id="1726564467">
              <w:marLeft w:val="0"/>
              <w:marRight w:val="0"/>
              <w:marTop w:val="0"/>
              <w:marBottom w:val="0"/>
              <w:divBdr>
                <w:top w:val="none" w:sz="0" w:space="0" w:color="auto"/>
                <w:left w:val="none" w:sz="0" w:space="0" w:color="auto"/>
                <w:bottom w:val="none" w:sz="0" w:space="0" w:color="auto"/>
                <w:right w:val="none" w:sz="0" w:space="0" w:color="auto"/>
              </w:divBdr>
              <w:divsChild>
                <w:div w:id="2106918248">
                  <w:marLeft w:val="0"/>
                  <w:marRight w:val="0"/>
                  <w:marTop w:val="0"/>
                  <w:marBottom w:val="0"/>
                  <w:divBdr>
                    <w:top w:val="none" w:sz="0" w:space="0" w:color="auto"/>
                    <w:left w:val="none" w:sz="0" w:space="0" w:color="auto"/>
                    <w:bottom w:val="none" w:sz="0" w:space="0" w:color="auto"/>
                    <w:right w:val="none" w:sz="0" w:space="0" w:color="auto"/>
                  </w:divBdr>
                </w:div>
              </w:divsChild>
            </w:div>
            <w:div w:id="411001806">
              <w:marLeft w:val="0"/>
              <w:marRight w:val="0"/>
              <w:marTop w:val="0"/>
              <w:marBottom w:val="0"/>
              <w:divBdr>
                <w:top w:val="none" w:sz="0" w:space="0" w:color="auto"/>
                <w:left w:val="none" w:sz="0" w:space="0" w:color="auto"/>
                <w:bottom w:val="none" w:sz="0" w:space="0" w:color="auto"/>
                <w:right w:val="none" w:sz="0" w:space="0" w:color="auto"/>
              </w:divBdr>
              <w:divsChild>
                <w:div w:id="11927873">
                  <w:marLeft w:val="0"/>
                  <w:marRight w:val="0"/>
                  <w:marTop w:val="0"/>
                  <w:marBottom w:val="0"/>
                  <w:divBdr>
                    <w:top w:val="none" w:sz="0" w:space="0" w:color="auto"/>
                    <w:left w:val="none" w:sz="0" w:space="0" w:color="auto"/>
                    <w:bottom w:val="none" w:sz="0" w:space="0" w:color="auto"/>
                    <w:right w:val="none" w:sz="0" w:space="0" w:color="auto"/>
                  </w:divBdr>
                </w:div>
              </w:divsChild>
            </w:div>
            <w:div w:id="1371804615">
              <w:marLeft w:val="0"/>
              <w:marRight w:val="0"/>
              <w:marTop w:val="0"/>
              <w:marBottom w:val="0"/>
              <w:divBdr>
                <w:top w:val="none" w:sz="0" w:space="0" w:color="auto"/>
                <w:left w:val="none" w:sz="0" w:space="0" w:color="auto"/>
                <w:bottom w:val="none" w:sz="0" w:space="0" w:color="auto"/>
                <w:right w:val="none" w:sz="0" w:space="0" w:color="auto"/>
              </w:divBdr>
              <w:divsChild>
                <w:div w:id="1911309275">
                  <w:marLeft w:val="0"/>
                  <w:marRight w:val="0"/>
                  <w:marTop w:val="0"/>
                  <w:marBottom w:val="0"/>
                  <w:divBdr>
                    <w:top w:val="none" w:sz="0" w:space="0" w:color="auto"/>
                    <w:left w:val="none" w:sz="0" w:space="0" w:color="auto"/>
                    <w:bottom w:val="none" w:sz="0" w:space="0" w:color="auto"/>
                    <w:right w:val="none" w:sz="0" w:space="0" w:color="auto"/>
                  </w:divBdr>
                </w:div>
              </w:divsChild>
            </w:div>
            <w:div w:id="106506524">
              <w:marLeft w:val="0"/>
              <w:marRight w:val="0"/>
              <w:marTop w:val="0"/>
              <w:marBottom w:val="0"/>
              <w:divBdr>
                <w:top w:val="none" w:sz="0" w:space="0" w:color="auto"/>
                <w:left w:val="none" w:sz="0" w:space="0" w:color="auto"/>
                <w:bottom w:val="none" w:sz="0" w:space="0" w:color="auto"/>
                <w:right w:val="none" w:sz="0" w:space="0" w:color="auto"/>
              </w:divBdr>
              <w:divsChild>
                <w:div w:id="9984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line.rima.org/Sinopsis.aspx?Id=15109" TargetMode="External"/><Relationship Id="rId13" Type="http://schemas.openxmlformats.org/officeDocument/2006/relationships/hyperlink" Target="http://medline.rima.org/Sinopsis.aspx?Id=151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dline.rima.org/Sinopsis.aspx?Id=15109" TargetMode="External"/><Relationship Id="rId12" Type="http://schemas.openxmlformats.org/officeDocument/2006/relationships/hyperlink" Target="http://medline.rima.org/Sinopsis.aspx?Id=15109"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edline.rima.org/Sinopsis.aspx?Id=15109" TargetMode="External"/><Relationship Id="rId1" Type="http://schemas.openxmlformats.org/officeDocument/2006/relationships/styles" Target="styles.xml"/><Relationship Id="rId6" Type="http://schemas.openxmlformats.org/officeDocument/2006/relationships/hyperlink" Target="http://medline.rima.org/Sinopsis.aspx?Id=15109" TargetMode="External"/><Relationship Id="rId11" Type="http://schemas.openxmlformats.org/officeDocument/2006/relationships/hyperlink" Target="http://medline.rima.org/Sinopsis.aspx?Id=15109" TargetMode="External"/><Relationship Id="rId5" Type="http://schemas.openxmlformats.org/officeDocument/2006/relationships/hyperlink" Target="http://medline.rima.org/Sinopsis.aspx?Id=15109" TargetMode="External"/><Relationship Id="rId15" Type="http://schemas.openxmlformats.org/officeDocument/2006/relationships/hyperlink" Target="http://medline.rima.org/Sinopsis.aspx?Id=15109" TargetMode="External"/><Relationship Id="rId10" Type="http://schemas.openxmlformats.org/officeDocument/2006/relationships/hyperlink" Target="http://medline.rima.org/Sinopsis.aspx?Id=15109" TargetMode="External"/><Relationship Id="rId4" Type="http://schemas.openxmlformats.org/officeDocument/2006/relationships/webSettings" Target="webSettings.xml"/><Relationship Id="rId9" Type="http://schemas.openxmlformats.org/officeDocument/2006/relationships/hyperlink" Target="http://medline.rima.org/Sinopsis.aspx?Id=15109" TargetMode="External"/><Relationship Id="rId14" Type="http://schemas.openxmlformats.org/officeDocument/2006/relationships/hyperlink" Target="http://medline.rima.org/Sinopsis.aspx?Id=151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2382</Words>
  <Characters>13106</Characters>
  <Application>Microsoft Office Word</Application>
  <DocSecurity>0</DocSecurity>
  <Lines>109</Lines>
  <Paragraphs>30</Paragraphs>
  <ScaleCrop>false</ScaleCrop>
  <Company>.</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López Méndez</dc:creator>
  <cp:keywords/>
  <dc:description/>
  <cp:lastModifiedBy>Héctor López Méndez</cp:lastModifiedBy>
  <cp:revision>1</cp:revision>
  <dcterms:created xsi:type="dcterms:W3CDTF">2016-07-25T17:12:00Z</dcterms:created>
  <dcterms:modified xsi:type="dcterms:W3CDTF">2016-07-25T17:12:00Z</dcterms:modified>
</cp:coreProperties>
</file>